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28" w:rsidRDefault="00FE5CCF" w:rsidP="00FE5CCF">
      <w:pPr>
        <w:jc w:val="center"/>
        <w:rPr>
          <w:color w:val="000000"/>
          <w:spacing w:val="-3"/>
          <w:w w:val="137"/>
          <w:sz w:val="69"/>
          <w:szCs w:val="69"/>
        </w:rPr>
      </w:pPr>
      <w:r>
        <w:rPr>
          <w:color w:val="000000"/>
          <w:spacing w:val="-3"/>
          <w:w w:val="137"/>
          <w:sz w:val="69"/>
          <w:szCs w:val="69"/>
        </w:rPr>
        <w:t>OGME</w:t>
      </w:r>
    </w:p>
    <w:p w:rsidR="00FE5CCF" w:rsidRDefault="00FE5CCF" w:rsidP="00FE5CCF">
      <w:pPr>
        <w:jc w:val="center"/>
        <w:rPr>
          <w:sz w:val="25"/>
          <w:szCs w:val="25"/>
        </w:rPr>
      </w:pPr>
      <w:r>
        <w:rPr>
          <w:sz w:val="25"/>
          <w:szCs w:val="25"/>
        </w:rPr>
        <w:t>Oil and Gas Measurement Equipment</w:t>
      </w:r>
    </w:p>
    <w:p w:rsidR="00FE5CCF" w:rsidRPr="00FE5CCF" w:rsidRDefault="00FE5CCF" w:rsidP="00FE5CCF">
      <w:pPr>
        <w:jc w:val="center"/>
        <w:rPr>
          <w:b w:val="0"/>
          <w:sz w:val="17"/>
          <w:szCs w:val="17"/>
        </w:rPr>
      </w:pPr>
      <w:r w:rsidRPr="00FE5CCF">
        <w:rPr>
          <w:b w:val="0"/>
          <w:sz w:val="17"/>
          <w:szCs w:val="17"/>
        </w:rPr>
        <w:t>“Servicing the oilfield since 1998”</w:t>
      </w:r>
    </w:p>
    <w:p w:rsidR="00FE5CCF" w:rsidRPr="00FE5CCF" w:rsidRDefault="00FE5CCF" w:rsidP="00FE5CCF">
      <w:pPr>
        <w:jc w:val="center"/>
        <w:rPr>
          <w:b w:val="0"/>
          <w:sz w:val="17"/>
          <w:szCs w:val="17"/>
        </w:rPr>
      </w:pPr>
      <w:r w:rsidRPr="00FE5CCF">
        <w:rPr>
          <w:b w:val="0"/>
          <w:sz w:val="17"/>
          <w:szCs w:val="17"/>
        </w:rPr>
        <w:t>Phone: 713-263-9740</w:t>
      </w:r>
    </w:p>
    <w:p w:rsidR="00FE5CCF" w:rsidRPr="00FE5CCF" w:rsidRDefault="00FE5CCF" w:rsidP="00FE5CCF">
      <w:pPr>
        <w:jc w:val="center"/>
        <w:rPr>
          <w:b w:val="0"/>
          <w:sz w:val="17"/>
          <w:szCs w:val="17"/>
        </w:rPr>
      </w:pPr>
      <w:r w:rsidRPr="00FE5CCF">
        <w:rPr>
          <w:b w:val="0"/>
          <w:sz w:val="17"/>
          <w:szCs w:val="17"/>
        </w:rPr>
        <w:t>Fax: 713-263-9741</w:t>
      </w:r>
    </w:p>
    <w:p w:rsidR="00FE5CCF" w:rsidRPr="00FE5CCF" w:rsidRDefault="00FE5CCF" w:rsidP="00FE5CCF">
      <w:pPr>
        <w:jc w:val="center"/>
        <w:rPr>
          <w:b w:val="0"/>
          <w:sz w:val="17"/>
          <w:szCs w:val="17"/>
        </w:rPr>
      </w:pPr>
      <w:r w:rsidRPr="00FE5CCF">
        <w:rPr>
          <w:b w:val="0"/>
          <w:sz w:val="17"/>
          <w:szCs w:val="17"/>
        </w:rPr>
        <w:t xml:space="preserve">Email: </w:t>
      </w:r>
      <w:hyperlink r:id="rId6" w:history="1">
        <w:r w:rsidRPr="00FE5CCF">
          <w:rPr>
            <w:rStyle w:val="Hyperlink"/>
            <w:b w:val="0"/>
            <w:sz w:val="17"/>
            <w:szCs w:val="17"/>
          </w:rPr>
          <w:t>sales@ogme.net</w:t>
        </w:r>
      </w:hyperlink>
    </w:p>
    <w:p w:rsidR="00FE5CCF" w:rsidRDefault="00FE5CCF" w:rsidP="00FE5CCF">
      <w:pPr>
        <w:jc w:val="center"/>
        <w:rPr>
          <w:sz w:val="17"/>
          <w:szCs w:val="17"/>
        </w:rPr>
      </w:pPr>
      <w:r>
        <w:rPr>
          <w:sz w:val="17"/>
          <w:szCs w:val="17"/>
        </w:rPr>
        <w:t>Or visit us at ogme.net</w:t>
      </w:r>
    </w:p>
    <w:p w:rsidR="00FE5CCF" w:rsidRDefault="00FE5CCF" w:rsidP="00627F00">
      <w:pPr>
        <w:rPr>
          <w:sz w:val="17"/>
          <w:szCs w:val="17"/>
        </w:rPr>
      </w:pPr>
    </w:p>
    <w:p w:rsidR="00FE5CCF" w:rsidRDefault="00FE5CCF" w:rsidP="00FE5CCF">
      <w:pPr>
        <w:jc w:val="center"/>
        <w:rPr>
          <w:sz w:val="28"/>
          <w:szCs w:val="28"/>
          <w:u w:val="single"/>
        </w:rPr>
      </w:pPr>
      <w:r w:rsidRPr="00FE5CCF">
        <w:rPr>
          <w:sz w:val="28"/>
          <w:szCs w:val="28"/>
          <w:u w:val="single"/>
        </w:rPr>
        <w:t>Temporary or Start-Up Strainers</w:t>
      </w:r>
    </w:p>
    <w:p w:rsidR="00FE5CCF" w:rsidRDefault="00FE5CCF" w:rsidP="00FE5CCF">
      <w:pPr>
        <w:jc w:val="center"/>
        <w:rPr>
          <w:b w:val="0"/>
          <w:sz w:val="22"/>
          <w:szCs w:val="22"/>
        </w:rPr>
      </w:pPr>
    </w:p>
    <w:p w:rsidR="00FE5CCF" w:rsidRDefault="00FE5CCF" w:rsidP="00627F00">
      <w:pPr>
        <w:ind w:firstLine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Temporary strainers are designed for use in process system, plants, compressors, refineries, and pipelines.  This type of strainer should be installed prior to bringing the equipment on-stream to insure that the normal debris associated with equipment instillation such as pipe scale, rust, </w:t>
      </w:r>
      <w:r w:rsidR="003A072D">
        <w:rPr>
          <w:b w:val="0"/>
          <w:sz w:val="22"/>
          <w:szCs w:val="22"/>
        </w:rPr>
        <w:t>weld, and</w:t>
      </w:r>
      <w:r>
        <w:rPr>
          <w:b w:val="0"/>
          <w:sz w:val="22"/>
          <w:szCs w:val="22"/>
        </w:rPr>
        <w:t xml:space="preserve"> s</w:t>
      </w:r>
      <w:r w:rsidR="003A072D">
        <w:rPr>
          <w:b w:val="0"/>
          <w:sz w:val="22"/>
          <w:szCs w:val="22"/>
        </w:rPr>
        <w:t>lag</w:t>
      </w:r>
      <w:r>
        <w:rPr>
          <w:b w:val="0"/>
          <w:sz w:val="22"/>
          <w:szCs w:val="22"/>
        </w:rPr>
        <w:t xml:space="preserve"> </w:t>
      </w:r>
      <w:r w:rsidR="003A072D">
        <w:rPr>
          <w:b w:val="0"/>
          <w:sz w:val="22"/>
          <w:szCs w:val="22"/>
        </w:rPr>
        <w:t>d</w:t>
      </w:r>
      <w:r>
        <w:rPr>
          <w:b w:val="0"/>
          <w:sz w:val="22"/>
          <w:szCs w:val="22"/>
        </w:rPr>
        <w:t xml:space="preserve">o not contaminate the product or damage the plant or equipment.  Typically, these strainers are </w:t>
      </w:r>
      <w:r w:rsidRPr="00FE5CCF">
        <w:rPr>
          <w:sz w:val="22"/>
          <w:szCs w:val="22"/>
        </w:rPr>
        <w:t>not recommended for extended service</w:t>
      </w:r>
      <w:r>
        <w:rPr>
          <w:b w:val="0"/>
          <w:sz w:val="22"/>
          <w:szCs w:val="22"/>
        </w:rPr>
        <w:t xml:space="preserve"> due to their light gauge construction, low cost</w:t>
      </w:r>
      <w:r w:rsidR="00627F00">
        <w:rPr>
          <w:b w:val="0"/>
          <w:sz w:val="22"/>
          <w:szCs w:val="22"/>
        </w:rPr>
        <w:t>,</w:t>
      </w:r>
      <w:r>
        <w:rPr>
          <w:b w:val="0"/>
          <w:sz w:val="22"/>
          <w:szCs w:val="22"/>
        </w:rPr>
        <w:t xml:space="preserve"> and ease of replacement. </w:t>
      </w:r>
    </w:p>
    <w:p w:rsidR="00627F00" w:rsidRDefault="00627F00" w:rsidP="00627F00">
      <w:pPr>
        <w:ind w:firstLine="360"/>
        <w:rPr>
          <w:b w:val="0"/>
          <w:sz w:val="22"/>
          <w:szCs w:val="22"/>
        </w:rPr>
      </w:pPr>
    </w:p>
    <w:p w:rsidR="000E1B11" w:rsidRDefault="000E1B11" w:rsidP="000E1B11">
      <w:pPr>
        <w:pStyle w:val="ListParagraph"/>
        <w:numPr>
          <w:ilvl w:val="0"/>
          <w:numId w:val="2"/>
        </w:numPr>
        <w:rPr>
          <w:b w:val="0"/>
          <w:sz w:val="22"/>
          <w:szCs w:val="22"/>
        </w:rPr>
      </w:pPr>
      <w:r w:rsidRPr="000E1B11">
        <w:rPr>
          <w:b w:val="0"/>
          <w:sz w:val="22"/>
          <w:szCs w:val="22"/>
        </w:rPr>
        <w:t>Sizes range from ¼” to 60” nominal pipe size</w:t>
      </w:r>
    </w:p>
    <w:p w:rsidR="000E1B11" w:rsidRDefault="000E1B11" w:rsidP="000E1B11">
      <w:pPr>
        <w:pStyle w:val="ListParagraph"/>
        <w:numPr>
          <w:ilvl w:val="0"/>
          <w:numId w:val="2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Range in open are</w:t>
      </w:r>
      <w:r w:rsidR="00627F00">
        <w:rPr>
          <w:b w:val="0"/>
          <w:sz w:val="22"/>
          <w:szCs w:val="22"/>
        </w:rPr>
        <w:t>a</w:t>
      </w:r>
      <w:r>
        <w:rPr>
          <w:b w:val="0"/>
          <w:sz w:val="22"/>
          <w:szCs w:val="22"/>
        </w:rPr>
        <w:t xml:space="preserve"> of strainer to cross section area of the pipe from 100% to 300%</w:t>
      </w:r>
    </w:p>
    <w:p w:rsidR="000E1B11" w:rsidRDefault="000E1B11" w:rsidP="000E1B11">
      <w:pPr>
        <w:pStyle w:val="ListParagraph"/>
        <w:numPr>
          <w:ilvl w:val="0"/>
          <w:numId w:val="2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Material gauge thickness of strainer ranges between 22 and 11 depending on hole size</w:t>
      </w:r>
    </w:p>
    <w:p w:rsidR="000E1B11" w:rsidRDefault="000E1B11" w:rsidP="000E1B11">
      <w:pPr>
        <w:pStyle w:val="ListParagraph"/>
        <w:numPr>
          <w:ilvl w:val="0"/>
          <w:numId w:val="2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Perforation hole size range from 1/16” to ¼” as standard</w:t>
      </w:r>
    </w:p>
    <w:p w:rsidR="000E1B11" w:rsidRDefault="000E1B11" w:rsidP="000E1B11">
      <w:pPr>
        <w:pStyle w:val="ListParagraph"/>
        <w:numPr>
          <w:ilvl w:val="0"/>
          <w:numId w:val="2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Material include carbon steel, various grades of S.S., hastelloy, inconel, and titanium</w:t>
      </w:r>
    </w:p>
    <w:p w:rsidR="000E1B11" w:rsidRDefault="000E1B11" w:rsidP="000E1B11">
      <w:pPr>
        <w:pStyle w:val="ListParagraph"/>
        <w:numPr>
          <w:ilvl w:val="0"/>
          <w:numId w:val="2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Strainer support rings can be constructed to accommodate raised face flanges, ring type joint flanges</w:t>
      </w:r>
      <w:r w:rsidR="00627F00">
        <w:rPr>
          <w:b w:val="0"/>
          <w:sz w:val="22"/>
          <w:szCs w:val="22"/>
        </w:rPr>
        <w:t>,</w:t>
      </w:r>
      <w:r>
        <w:rPr>
          <w:b w:val="0"/>
          <w:sz w:val="22"/>
          <w:szCs w:val="22"/>
        </w:rPr>
        <w:t xml:space="preserve"> or any other standard flange facing</w:t>
      </w:r>
    </w:p>
    <w:p w:rsidR="00735C7D" w:rsidRPr="00627F00" w:rsidRDefault="000E1B11" w:rsidP="00627F00">
      <w:pPr>
        <w:pStyle w:val="ListParagraph"/>
        <w:numPr>
          <w:ilvl w:val="0"/>
          <w:numId w:val="2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Liners and covers available for small particle remov</w:t>
      </w:r>
      <w:r w:rsidR="003A072D">
        <w:rPr>
          <w:b w:val="0"/>
          <w:sz w:val="22"/>
          <w:szCs w:val="22"/>
        </w:rPr>
        <w:t xml:space="preserve">al 200 thru 10 mesh </w:t>
      </w:r>
    </w:p>
    <w:p w:rsidR="00627F00" w:rsidRDefault="00627F00" w:rsidP="00627F00">
      <w:pPr>
        <w:jc w:val="center"/>
        <w:rPr>
          <w:sz w:val="28"/>
          <w:szCs w:val="28"/>
        </w:rPr>
      </w:pPr>
    </w:p>
    <w:p w:rsidR="00627F00" w:rsidRPr="00627F00" w:rsidRDefault="00C4112A" w:rsidP="00627F00">
      <w:pPr>
        <w:jc w:val="center"/>
        <w:rPr>
          <w:sz w:val="28"/>
          <w:szCs w:val="28"/>
        </w:rPr>
      </w:pPr>
      <w:r>
        <w:rPr>
          <w:sz w:val="28"/>
          <w:szCs w:val="28"/>
        </w:rPr>
        <w:t>Dimensions and Perc</w:t>
      </w:r>
      <w:r w:rsidR="00627F00" w:rsidRPr="00627F00">
        <w:rPr>
          <w:sz w:val="28"/>
          <w:szCs w:val="28"/>
        </w:rPr>
        <w:t>ent Open Area</w:t>
      </w:r>
    </w:p>
    <w:tbl>
      <w:tblPr>
        <w:tblW w:w="718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</w:tblGrid>
      <w:tr w:rsidR="00627F00" w:rsidRPr="00627F00" w:rsidTr="00C861EC">
        <w:trPr>
          <w:trHeight w:val="600"/>
          <w:jc w:val="center"/>
        </w:trPr>
        <w:tc>
          <w:tcPr>
            <w:tcW w:w="718" w:type="dxa"/>
            <w:shd w:val="clear" w:color="auto" w:fill="auto"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color w:val="000000"/>
                <w:sz w:val="22"/>
                <w:szCs w:val="22"/>
              </w:rPr>
              <w:t>Size</w:t>
            </w:r>
          </w:p>
        </w:tc>
        <w:tc>
          <w:tcPr>
            <w:tcW w:w="718" w:type="dxa"/>
            <w:shd w:val="clear" w:color="auto" w:fill="auto"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100%                  A</w:t>
            </w:r>
          </w:p>
        </w:tc>
        <w:tc>
          <w:tcPr>
            <w:tcW w:w="718" w:type="dxa"/>
            <w:shd w:val="clear" w:color="auto" w:fill="auto"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100%                 B</w:t>
            </w:r>
          </w:p>
        </w:tc>
        <w:tc>
          <w:tcPr>
            <w:tcW w:w="718" w:type="dxa"/>
            <w:shd w:val="clear" w:color="auto" w:fill="auto"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150%              A</w:t>
            </w:r>
          </w:p>
        </w:tc>
        <w:tc>
          <w:tcPr>
            <w:tcW w:w="718" w:type="dxa"/>
            <w:shd w:val="clear" w:color="auto" w:fill="auto"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150%              B</w:t>
            </w:r>
          </w:p>
        </w:tc>
        <w:tc>
          <w:tcPr>
            <w:tcW w:w="718" w:type="dxa"/>
            <w:shd w:val="clear" w:color="auto" w:fill="auto"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200%             A</w:t>
            </w:r>
          </w:p>
        </w:tc>
        <w:tc>
          <w:tcPr>
            <w:tcW w:w="718" w:type="dxa"/>
            <w:shd w:val="clear" w:color="auto" w:fill="auto"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200%             B</w:t>
            </w:r>
          </w:p>
        </w:tc>
        <w:tc>
          <w:tcPr>
            <w:tcW w:w="718" w:type="dxa"/>
            <w:shd w:val="clear" w:color="auto" w:fill="auto"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300%             A</w:t>
            </w:r>
          </w:p>
        </w:tc>
        <w:tc>
          <w:tcPr>
            <w:tcW w:w="718" w:type="dxa"/>
            <w:shd w:val="clear" w:color="auto" w:fill="auto"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300%             B</w:t>
            </w:r>
          </w:p>
        </w:tc>
        <w:tc>
          <w:tcPr>
            <w:tcW w:w="718" w:type="dxa"/>
            <w:shd w:val="clear" w:color="auto" w:fill="auto"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C</w:t>
            </w:r>
          </w:p>
        </w:tc>
      </w:tr>
      <w:tr w:rsidR="00627F00" w:rsidRPr="00627F00" w:rsidTr="00C861EC">
        <w:trPr>
          <w:trHeight w:val="300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0.75</w:t>
            </w:r>
          </w:p>
        </w:tc>
        <w:tc>
          <w:tcPr>
            <w:tcW w:w="718" w:type="dxa"/>
            <w:shd w:val="clear" w:color="auto" w:fill="auto"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3.00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1.50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2.00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3.00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6.00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0.38</w:t>
            </w:r>
          </w:p>
        </w:tc>
      </w:tr>
      <w:tr w:rsidR="00627F00" w:rsidRPr="00627F00" w:rsidTr="00C861EC">
        <w:trPr>
          <w:trHeight w:val="300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718" w:type="dxa"/>
            <w:shd w:val="clear" w:color="auto" w:fill="auto"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3.00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1.50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2.00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3.00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6.00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0.50</w:t>
            </w:r>
          </w:p>
        </w:tc>
      </w:tr>
      <w:tr w:rsidR="00627F00" w:rsidRPr="00627F00" w:rsidTr="00C861EC">
        <w:trPr>
          <w:trHeight w:val="300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1.50</w:t>
            </w:r>
          </w:p>
        </w:tc>
        <w:tc>
          <w:tcPr>
            <w:tcW w:w="718" w:type="dxa"/>
            <w:shd w:val="clear" w:color="auto" w:fill="auto"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3.50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2.00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4.50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2.50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6.00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3.50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0.75</w:t>
            </w:r>
          </w:p>
        </w:tc>
      </w:tr>
      <w:tr w:rsidR="00627F00" w:rsidRPr="00627F00" w:rsidTr="00C861EC">
        <w:trPr>
          <w:trHeight w:val="300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2.00</w:t>
            </w:r>
          </w:p>
        </w:tc>
        <w:tc>
          <w:tcPr>
            <w:tcW w:w="718" w:type="dxa"/>
            <w:shd w:val="clear" w:color="auto" w:fill="auto"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2.50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6.00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3.00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6.00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1.00</w:t>
            </w:r>
          </w:p>
        </w:tc>
      </w:tr>
      <w:tr w:rsidR="00627F00" w:rsidRPr="00627F00" w:rsidTr="00C861EC">
        <w:trPr>
          <w:trHeight w:val="300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2.50</w:t>
            </w:r>
          </w:p>
        </w:tc>
        <w:tc>
          <w:tcPr>
            <w:tcW w:w="718" w:type="dxa"/>
            <w:shd w:val="clear" w:color="auto" w:fill="auto"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2.50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6.00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3.00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6.00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1.25</w:t>
            </w:r>
          </w:p>
        </w:tc>
      </w:tr>
      <w:tr w:rsidR="00627F00" w:rsidRPr="00627F00" w:rsidTr="00C861EC">
        <w:trPr>
          <w:trHeight w:val="300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3.00</w:t>
            </w:r>
          </w:p>
        </w:tc>
        <w:tc>
          <w:tcPr>
            <w:tcW w:w="718" w:type="dxa"/>
            <w:shd w:val="clear" w:color="auto" w:fill="auto"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3.00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7.00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4.50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6.00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1.50</w:t>
            </w:r>
          </w:p>
        </w:tc>
      </w:tr>
      <w:tr w:rsidR="00627F00" w:rsidRPr="00627F00" w:rsidTr="00C861EC">
        <w:trPr>
          <w:trHeight w:val="300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718" w:type="dxa"/>
            <w:shd w:val="clear" w:color="auto" w:fill="auto"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7.00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2.00</w:t>
            </w:r>
          </w:p>
        </w:tc>
      </w:tr>
      <w:tr w:rsidR="00627F00" w:rsidRPr="00627F00" w:rsidTr="00C861EC">
        <w:trPr>
          <w:trHeight w:val="300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6.00</w:t>
            </w:r>
          </w:p>
        </w:tc>
        <w:tc>
          <w:tcPr>
            <w:tcW w:w="718" w:type="dxa"/>
            <w:shd w:val="clear" w:color="auto" w:fill="auto"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5.50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25.00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17.00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3.00</w:t>
            </w:r>
          </w:p>
        </w:tc>
      </w:tr>
      <w:tr w:rsidR="00627F00" w:rsidRPr="00627F00" w:rsidTr="00C861EC">
        <w:trPr>
          <w:trHeight w:val="300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718" w:type="dxa"/>
            <w:shd w:val="clear" w:color="auto" w:fill="auto"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7.00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17.00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23.00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33.00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21.00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4.00</w:t>
            </w:r>
          </w:p>
        </w:tc>
      </w:tr>
      <w:tr w:rsidR="00627F00" w:rsidRPr="00627F00" w:rsidTr="00C861EC">
        <w:trPr>
          <w:trHeight w:val="300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718" w:type="dxa"/>
            <w:shd w:val="clear" w:color="auto" w:fill="auto"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21.00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28.00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17.00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41.00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26.00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5.00</w:t>
            </w:r>
          </w:p>
        </w:tc>
      </w:tr>
      <w:tr w:rsidR="00627F00" w:rsidRPr="00627F00" w:rsidTr="00C861EC">
        <w:trPr>
          <w:trHeight w:val="300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718" w:type="dxa"/>
            <w:shd w:val="clear" w:color="auto" w:fill="auto"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25.00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34.00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49.00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31.00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6.00</w:t>
            </w:r>
          </w:p>
        </w:tc>
      </w:tr>
      <w:tr w:rsidR="00627F00" w:rsidRPr="00627F00" w:rsidTr="00C861EC">
        <w:trPr>
          <w:trHeight w:val="300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718" w:type="dxa"/>
            <w:shd w:val="clear" w:color="auto" w:fill="auto"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27.00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36.00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22.00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53.00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33.00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7.00</w:t>
            </w:r>
          </w:p>
        </w:tc>
      </w:tr>
      <w:tr w:rsidR="00627F00" w:rsidRPr="00627F00" w:rsidTr="00C861EC">
        <w:trPr>
          <w:trHeight w:val="300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718" w:type="dxa"/>
            <w:shd w:val="clear" w:color="auto" w:fill="auto"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21.00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31.00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19.00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24.00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61.00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37.00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8.00</w:t>
            </w:r>
          </w:p>
        </w:tc>
      </w:tr>
      <w:tr w:rsidR="00627F00" w:rsidRPr="00627F00" w:rsidTr="00C861EC">
        <w:trPr>
          <w:trHeight w:val="300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718" w:type="dxa"/>
            <w:shd w:val="clear" w:color="auto" w:fill="auto"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24.00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21.00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46.00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27.00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68.00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41.00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9.00</w:t>
            </w:r>
          </w:p>
        </w:tc>
      </w:tr>
      <w:tr w:rsidR="00627F00" w:rsidRPr="00627F00" w:rsidTr="00C861EC">
        <w:trPr>
          <w:trHeight w:val="300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718" w:type="dxa"/>
            <w:shd w:val="clear" w:color="auto" w:fill="auto"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26.00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38.00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24.00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51.00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31.00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76.00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48.00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10.00</w:t>
            </w:r>
          </w:p>
        </w:tc>
      </w:tr>
      <w:tr w:rsidR="00627F00" w:rsidRPr="00627F00" w:rsidTr="00C861EC">
        <w:trPr>
          <w:trHeight w:val="300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24.00</w:t>
            </w:r>
          </w:p>
        </w:tc>
        <w:tc>
          <w:tcPr>
            <w:tcW w:w="718" w:type="dxa"/>
            <w:shd w:val="clear" w:color="auto" w:fill="auto"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31.00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45.00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28.00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61.00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37.00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90.00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57.00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27F00" w:rsidRPr="00627F00" w:rsidRDefault="00627F00" w:rsidP="00627F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627F00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</w:rPr>
              <w:t>12.00</w:t>
            </w:r>
          </w:p>
        </w:tc>
      </w:tr>
    </w:tbl>
    <w:p w:rsidR="000E1B11" w:rsidRDefault="00C861EC" w:rsidP="00627F00">
      <w:pPr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w:lastRenderedPageBreak/>
        <w:drawing>
          <wp:inline distT="0" distB="0" distL="0" distR="0">
            <wp:extent cx="5943600" cy="2655570"/>
            <wp:effectExtent l="19050" t="0" r="0" b="0"/>
            <wp:docPr id="2" name="Picture 0" descr="Strainer p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ner pg 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5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1EC" w:rsidRDefault="00C861EC" w:rsidP="00024888">
      <w:pPr>
        <w:rPr>
          <w:b w:val="0"/>
          <w:sz w:val="22"/>
          <w:szCs w:val="22"/>
        </w:rPr>
      </w:pPr>
    </w:p>
    <w:p w:rsidR="0097288D" w:rsidRPr="00024888" w:rsidRDefault="0097288D" w:rsidP="00024888">
      <w:pPr>
        <w:rPr>
          <w:sz w:val="28"/>
          <w:szCs w:val="28"/>
          <w:u w:val="single"/>
        </w:rPr>
      </w:pPr>
      <w:r w:rsidRPr="0097288D">
        <w:rPr>
          <w:sz w:val="28"/>
          <w:szCs w:val="28"/>
          <w:u w:val="single"/>
        </w:rPr>
        <w:t>When Ordering Please Specify</w:t>
      </w:r>
    </w:p>
    <w:p w:rsidR="0097288D" w:rsidRDefault="0097288D" w:rsidP="0097288D">
      <w:pPr>
        <w:pStyle w:val="ListParagraph"/>
        <w:numPr>
          <w:ilvl w:val="0"/>
          <w:numId w:val="6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Pipe Size</w:t>
      </w:r>
    </w:p>
    <w:p w:rsidR="0097288D" w:rsidRDefault="0097288D" w:rsidP="0097288D">
      <w:pPr>
        <w:pStyle w:val="ListParagraph"/>
        <w:numPr>
          <w:ilvl w:val="0"/>
          <w:numId w:val="6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Pressure rating/flange size</w:t>
      </w:r>
    </w:p>
    <w:p w:rsidR="0097288D" w:rsidRDefault="0097288D" w:rsidP="0097288D">
      <w:pPr>
        <w:pStyle w:val="ListParagraph"/>
        <w:numPr>
          <w:ilvl w:val="0"/>
          <w:numId w:val="6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Perforation or mesh size</w:t>
      </w:r>
    </w:p>
    <w:p w:rsidR="0097288D" w:rsidRDefault="0097288D" w:rsidP="0097288D">
      <w:pPr>
        <w:pStyle w:val="ListParagraph"/>
        <w:numPr>
          <w:ilvl w:val="0"/>
          <w:numId w:val="6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Material</w:t>
      </w:r>
    </w:p>
    <w:p w:rsidR="0097288D" w:rsidRDefault="0097288D" w:rsidP="0097288D">
      <w:pPr>
        <w:pStyle w:val="ListParagraph"/>
        <w:numPr>
          <w:ilvl w:val="0"/>
          <w:numId w:val="6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Style-cone, basket, or flat</w:t>
      </w:r>
    </w:p>
    <w:p w:rsidR="0097288D" w:rsidRDefault="0097288D" w:rsidP="0097288D">
      <w:pPr>
        <w:pStyle w:val="ListParagraph"/>
        <w:numPr>
          <w:ilvl w:val="0"/>
          <w:numId w:val="6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Direction of flow-normal or reverse</w:t>
      </w:r>
    </w:p>
    <w:p w:rsidR="0097288D" w:rsidRDefault="0097288D" w:rsidP="0097288D">
      <w:pPr>
        <w:pStyle w:val="ListParagraph"/>
        <w:numPr>
          <w:ilvl w:val="0"/>
          <w:numId w:val="6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Percentage of open area</w:t>
      </w:r>
    </w:p>
    <w:p w:rsidR="0097288D" w:rsidRDefault="0097288D" w:rsidP="0097288D">
      <w:pPr>
        <w:rPr>
          <w:b w:val="0"/>
          <w:sz w:val="24"/>
          <w:szCs w:val="24"/>
        </w:rPr>
      </w:pPr>
    </w:p>
    <w:p w:rsidR="0097288D" w:rsidRPr="00024888" w:rsidRDefault="0097288D" w:rsidP="00024888">
      <w:pPr>
        <w:rPr>
          <w:b w:val="0"/>
        </w:rPr>
      </w:pPr>
      <w:r>
        <w:rPr>
          <w:sz w:val="24"/>
          <w:szCs w:val="24"/>
        </w:rPr>
        <w:t xml:space="preserve">Note:  </w:t>
      </w:r>
      <w:r w:rsidRPr="00024888">
        <w:rPr>
          <w:b w:val="0"/>
        </w:rPr>
        <w:t xml:space="preserve">C equals ½ the nominal pipe size. C equal to 5” and larger have inverted cone for strength and increased area.  </w:t>
      </w:r>
    </w:p>
    <w:p w:rsidR="0097288D" w:rsidRPr="00024888" w:rsidRDefault="0097288D" w:rsidP="0097288D">
      <w:pPr>
        <w:rPr>
          <w:b w:val="0"/>
        </w:rPr>
      </w:pPr>
      <w:r w:rsidRPr="00024888">
        <w:rPr>
          <w:b w:val="0"/>
        </w:rPr>
        <w:t>100% Basket, B designed to fit weld neck flange plus 1-R welding elbow</w:t>
      </w:r>
      <w:r w:rsidR="00024888" w:rsidRPr="00024888">
        <w:rPr>
          <w:b w:val="0"/>
        </w:rPr>
        <w:t>.</w:t>
      </w:r>
    </w:p>
    <w:p w:rsidR="00024888" w:rsidRPr="00024888" w:rsidRDefault="00024888" w:rsidP="0097288D">
      <w:pPr>
        <w:rPr>
          <w:b w:val="0"/>
        </w:rPr>
      </w:pPr>
      <w:r w:rsidRPr="00024888">
        <w:rPr>
          <w:b w:val="0"/>
        </w:rPr>
        <w:t>Struts, hoops, and bracing for standard cones can be furnished for additional strength.</w:t>
      </w:r>
    </w:p>
    <w:p w:rsidR="00024888" w:rsidRPr="00024888" w:rsidRDefault="00024888" w:rsidP="0097288D">
      <w:pPr>
        <w:rPr>
          <w:b w:val="0"/>
        </w:rPr>
      </w:pPr>
    </w:p>
    <w:p w:rsidR="00C861EC" w:rsidRDefault="00024888" w:rsidP="0097288D">
      <w:r w:rsidRPr="00024888">
        <w:rPr>
          <w:sz w:val="24"/>
          <w:szCs w:val="24"/>
        </w:rPr>
        <w:t>Caution:</w:t>
      </w:r>
      <w:r w:rsidRPr="00024888">
        <w:t xml:space="preserve">  Pressure drops are critical in strainer applications and each situation needs to be evaluated on a</w:t>
      </w:r>
      <w:r>
        <w:t>n</w:t>
      </w:r>
      <w:r w:rsidRPr="00024888">
        <w:t xml:space="preserve"> individual basis</w:t>
      </w:r>
    </w:p>
    <w:p w:rsidR="00C861EC" w:rsidRDefault="00C861EC" w:rsidP="0097288D">
      <w:pPr>
        <w:rPr>
          <w:noProof/>
        </w:rPr>
      </w:pPr>
    </w:p>
    <w:p w:rsidR="00C861EC" w:rsidRPr="00024888" w:rsidRDefault="00C861EC" w:rsidP="00C861EC">
      <w:pPr>
        <w:jc w:val="center"/>
      </w:pPr>
      <w:r>
        <w:rPr>
          <w:noProof/>
        </w:rPr>
        <w:drawing>
          <wp:inline distT="0" distB="0" distL="0" distR="0">
            <wp:extent cx="3819525" cy="1743075"/>
            <wp:effectExtent l="19050" t="0" r="9525" b="0"/>
            <wp:docPr id="7" name="Picture 3" descr="Strainer p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ner pg 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32725" cy="1749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61EC" w:rsidRPr="00024888" w:rsidSect="00866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35A9D"/>
    <w:multiLevelType w:val="hybridMultilevel"/>
    <w:tmpl w:val="18889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A39AB"/>
    <w:multiLevelType w:val="hybridMultilevel"/>
    <w:tmpl w:val="4D30C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11F01"/>
    <w:multiLevelType w:val="hybridMultilevel"/>
    <w:tmpl w:val="1C6487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933AC3"/>
    <w:multiLevelType w:val="hybridMultilevel"/>
    <w:tmpl w:val="332ED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C7C2E"/>
    <w:multiLevelType w:val="hybridMultilevel"/>
    <w:tmpl w:val="9AAEA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2777D3"/>
    <w:multiLevelType w:val="hybridMultilevel"/>
    <w:tmpl w:val="62E43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5CCF"/>
    <w:rsid w:val="00024888"/>
    <w:rsid w:val="000E1B11"/>
    <w:rsid w:val="001535C5"/>
    <w:rsid w:val="001F363C"/>
    <w:rsid w:val="00337D00"/>
    <w:rsid w:val="003A072D"/>
    <w:rsid w:val="0047298C"/>
    <w:rsid w:val="00627F00"/>
    <w:rsid w:val="00735C7D"/>
    <w:rsid w:val="00866B58"/>
    <w:rsid w:val="0097288D"/>
    <w:rsid w:val="00C4112A"/>
    <w:rsid w:val="00C861EC"/>
    <w:rsid w:val="00F047A8"/>
    <w:rsid w:val="00FE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C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5C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1B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1EC"/>
    <w:rPr>
      <w:rFonts w:ascii="Tahoma" w:eastAsia="Times New Roman" w:hAnsi="Tahoma" w:cs="Tahoma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les@ogme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6AD37-CADB-46E3-BDE7-94FD97630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2008-08-12T14:53:00Z</dcterms:created>
  <dcterms:modified xsi:type="dcterms:W3CDTF">2008-08-12T14:53:00Z</dcterms:modified>
</cp:coreProperties>
</file>